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Weekly Home Learning Timetable for Self Isolation WC </w:t>
      </w:r>
      <w:r>
        <w:rPr>
          <w:b w:val="1"/>
          <w:bCs w:val="1"/>
          <w:sz w:val="20"/>
          <w:szCs w:val="20"/>
          <w:rtl w:val="0"/>
          <w:lang w:val="en-US"/>
        </w:rPr>
        <w:t>23</w:t>
      </w:r>
      <w:r>
        <w:rPr>
          <w:b w:val="1"/>
          <w:bCs w:val="1"/>
          <w:sz w:val="20"/>
          <w:szCs w:val="20"/>
          <w:rtl w:val="0"/>
        </w:rPr>
        <w:t>.11.20</w:t>
      </w:r>
    </w:p>
    <w:tbl>
      <w:tblPr>
        <w:tblW w:w="139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87"/>
        <w:gridCol w:w="2905"/>
        <w:gridCol w:w="2396"/>
        <w:gridCol w:w="2528"/>
        <w:gridCol w:w="2129"/>
        <w:gridCol w:w="2395"/>
      </w:tblGrid>
      <w:tr>
        <w:tblPrEx>
          <w:shd w:val="clear" w:color="auto" w:fill="d0ddef"/>
        </w:tblPrEx>
        <w:trPr>
          <w:trHeight w:val="366" w:hRule="atLeast"/>
        </w:trPr>
        <w:tc>
          <w:tcPr>
            <w:tcW w:type="dxa" w:w="15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Monday</w:t>
            </w:r>
          </w:p>
        </w:tc>
        <w:tc>
          <w:tcPr>
            <w:tcW w:type="dxa" w:w="239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Tuesday</w:t>
            </w:r>
          </w:p>
        </w:tc>
        <w:tc>
          <w:tcPr>
            <w:tcW w:type="dxa" w:w="25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Wednesday</w:t>
            </w:r>
          </w:p>
        </w:tc>
        <w:tc>
          <w:tcPr>
            <w:tcW w:type="dxa" w:w="2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Thursday</w:t>
            </w:r>
          </w:p>
        </w:tc>
        <w:tc>
          <w:tcPr>
            <w:tcW w:type="dxa" w:w="23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Friday</w:t>
            </w:r>
          </w:p>
        </w:tc>
      </w:tr>
      <w:tr>
        <w:tblPrEx>
          <w:shd w:val="clear" w:color="auto" w:fill="d0ddef"/>
        </w:tblPrEx>
        <w:trPr>
          <w:trHeight w:val="2512" w:hRule="atLeast"/>
        </w:trPr>
        <w:tc>
          <w:tcPr>
            <w:tcW w:type="dxa" w:w="158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bidi w:val="0"/>
            </w:pPr>
            <w:r>
              <w:rPr>
                <w:sz w:val="21"/>
                <w:szCs w:val="21"/>
                <w:rtl w:val="0"/>
                <w:lang w:val="en-US"/>
              </w:rPr>
              <w:t>Maths</w:t>
            </w:r>
          </w:p>
        </w:tc>
        <w:tc>
          <w:tcPr>
            <w:tcW w:type="dxa" w:w="290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fldChar w:fldCharType="begin" w:fldLock="0"/>
            </w:r>
            <w:r>
              <w:instrText xml:space="preserve"> HYPERLINK "https://whiterosemaths.com/homelearning/year-2/week-9-number-addition-subtraction/"</w:instrText>
            </w:r>
            <w:r>
              <w:rPr/>
              <w:fldChar w:fldCharType="separate" w:fldLock="0"/>
            </w:r>
            <w:r>
              <w:rPr>
                <w:rtl w:val="0"/>
              </w:rPr>
              <w:t>https://whiterosemaths.com/homelearning/year-2/week-9-number-addition-subtraction/</w:t>
            </w:r>
            <w:r>
              <w:rPr/>
              <w:fldChar w:fldCharType="end" w:fldLock="0"/>
            </w:r>
          </w:p>
          <w:p>
            <w:pPr>
              <w:pStyle w:val="Body"/>
            </w:pPr>
            <w:r>
              <w:rPr>
                <w:rtl w:val="0"/>
              </w:rPr>
              <w:t>find and make bonds task on seesaw</w:t>
            </w:r>
          </w:p>
        </w:tc>
        <w:tc>
          <w:tcPr>
            <w:tcW w:type="dxa" w:w="239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"https://whiterosemaths.com/homelearning/year-2/week-9-number-addition-subtraction/"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https://whiterosemaths.com/homelearning/year-2/week-9-number-addition-subtraction/</w:t>
            </w:r>
            <w:r>
              <w:rPr/>
              <w:fldChar w:fldCharType="end" w:fldLock="0"/>
            </w:r>
          </w:p>
          <w:p>
            <w:pPr>
              <w:pStyle w:val="Body"/>
            </w:pPr>
            <w:r>
              <w:rPr>
                <w:rtl w:val="0"/>
              </w:rPr>
              <w:t>bonds to 100 (tens and ones) task on seesaw</w:t>
            </w:r>
          </w:p>
        </w:tc>
        <w:tc>
          <w:tcPr>
            <w:tcW w:type="dxa" w:w="252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"https://whiterosemaths.com/homelearning/year-2/week-9-number-addition-subtraction/"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https://whiterosemaths.com/homelearning/year-2/week-9-number-addition-subtraction/</w:t>
            </w:r>
            <w:r>
              <w:rPr/>
              <w:fldChar w:fldCharType="end" w:fldLock="0"/>
            </w:r>
          </w:p>
          <w:p>
            <w:pPr>
              <w:pStyle w:val="Body"/>
            </w:pPr>
            <w:r>
              <w:rPr>
                <w:rtl w:val="0"/>
              </w:rPr>
              <w:t>add 3 1-digit numbers task on seesaw</w:t>
            </w:r>
          </w:p>
        </w:tc>
        <w:tc>
          <w:tcPr>
            <w:tcW w:type="dxa" w:w="212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"https://whiterosemaths.com/homelearning/year-2/week-9-number-addition-subtraction/"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https://whiterosemaths.com/homelearning/year-2/week-9-number-addition-subtraction/</w:t>
            </w:r>
            <w:r>
              <w:rPr/>
              <w:fldChar w:fldCharType="end" w:fldLock="0"/>
            </w:r>
          </w:p>
          <w:p>
            <w:pPr>
              <w:pStyle w:val="Body"/>
            </w:pPr>
            <w:r>
              <w:rPr>
                <w:rtl w:val="0"/>
              </w:rPr>
              <w:t>recap of addition and subtraction unit</w:t>
            </w:r>
          </w:p>
        </w:tc>
        <w:tc>
          <w:tcPr>
            <w:tcW w:type="dxa" w:w="239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"https://whiterosemaths.com/homelearning/year-2/week-9-number-addition-subtraction/"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https://whiterosemaths.com/homelearning/year-2/week-9-number-addition-subtraction/</w:t>
            </w:r>
            <w:r>
              <w:rPr/>
              <w:fldChar w:fldCharType="end" w:fldLock="0"/>
            </w:r>
          </w:p>
          <w:p>
            <w:pPr>
              <w:pStyle w:val="Body"/>
            </w:pPr>
            <w:r>
              <w:rPr>
                <w:rtl w:val="0"/>
              </w:rPr>
              <w:t>end of unit assessment task on seesaw</w:t>
            </w:r>
          </w:p>
        </w:tc>
      </w:tr>
      <w:tr>
        <w:tblPrEx>
          <w:shd w:val="clear" w:color="auto" w:fill="d0ddef"/>
        </w:tblPrEx>
        <w:trPr>
          <w:trHeight w:val="1037" w:hRule="atLeast"/>
        </w:trPr>
        <w:tc>
          <w:tcPr>
            <w:tcW w:type="dxa" w:w="15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Phonics</w:t>
            </w:r>
          </w:p>
        </w:tc>
        <w:tc>
          <w:tcPr>
            <w:tcW w:type="dxa" w:w="29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fldChar w:fldCharType="begin" w:fldLock="0"/>
            </w:r>
            <w:r>
              <w:instrText xml:space="preserve"> HYPERLINK "https://www.phonicsplay.co.uk/resources/phase/5"</w:instrText>
            </w:r>
            <w:r>
              <w:rPr/>
              <w:fldChar w:fldCharType="separate" w:fldLock="0"/>
            </w:r>
            <w:r>
              <w:rPr>
                <w:rtl w:val="0"/>
              </w:rPr>
              <w:t>https://www.phonicsplay.co.uk/resources/phase/5</w:t>
            </w:r>
            <w:r>
              <w:rPr/>
              <w:fldChar w:fldCharType="end" w:fldLock="0"/>
            </w:r>
          </w:p>
        </w:tc>
        <w:tc>
          <w:tcPr>
            <w:tcW w:type="dxa" w:w="239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fldChar w:fldCharType="begin" w:fldLock="0"/>
            </w:r>
            <w:r>
              <w:instrText xml:space="preserve"> HYPERLINK "https://www.phonicsplay.co.uk/resources/phase/5"</w:instrText>
            </w:r>
            <w:r>
              <w:rPr/>
              <w:fldChar w:fldCharType="separate" w:fldLock="0"/>
            </w:r>
            <w:r>
              <w:rPr>
                <w:rtl w:val="0"/>
              </w:rPr>
              <w:t>https://www.phonicsplay.co.uk/resources/phase/5</w:t>
            </w:r>
            <w:r>
              <w:rPr/>
              <w:fldChar w:fldCharType="end" w:fldLock="0"/>
            </w:r>
          </w:p>
        </w:tc>
        <w:tc>
          <w:tcPr>
            <w:tcW w:type="dxa" w:w="25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fldChar w:fldCharType="begin" w:fldLock="0"/>
            </w:r>
            <w:r>
              <w:instrText xml:space="preserve"> HYPERLINK "https://www.phonicsplay.co.uk/resources/phase/5"</w:instrText>
            </w:r>
            <w:r>
              <w:rPr/>
              <w:fldChar w:fldCharType="separate" w:fldLock="0"/>
            </w:r>
            <w:r>
              <w:rPr>
                <w:rtl w:val="0"/>
              </w:rPr>
              <w:t>https://www.phonicsplay.co.uk/resources/phase/5</w:t>
            </w:r>
            <w:r>
              <w:rPr/>
              <w:fldChar w:fldCharType="end" w:fldLock="0"/>
            </w:r>
          </w:p>
        </w:tc>
        <w:tc>
          <w:tcPr>
            <w:tcW w:type="dxa" w:w="2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fldChar w:fldCharType="begin" w:fldLock="0"/>
            </w:r>
            <w:r>
              <w:instrText xml:space="preserve"> HYPERLINK "https://www.phonicsplay.co.uk/resources/phase/5"</w:instrText>
            </w:r>
            <w:r>
              <w:rPr/>
              <w:fldChar w:fldCharType="separate" w:fldLock="0"/>
            </w:r>
            <w:r>
              <w:rPr>
                <w:rtl w:val="0"/>
              </w:rPr>
              <w:t>https://www.phonicsplay.co.uk/resources/phase/5</w:t>
            </w:r>
            <w:r>
              <w:rPr/>
              <w:fldChar w:fldCharType="end" w:fldLock="0"/>
            </w:r>
          </w:p>
        </w:tc>
        <w:tc>
          <w:tcPr>
            <w:tcW w:type="dxa" w:w="23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fldChar w:fldCharType="begin" w:fldLock="0"/>
            </w:r>
            <w:r>
              <w:instrText xml:space="preserve"> HYPERLINK "https://www.phonicsplay.co.uk/resources/phase/5"</w:instrText>
            </w:r>
            <w:r>
              <w:rPr/>
              <w:fldChar w:fldCharType="separate" w:fldLock="0"/>
            </w:r>
            <w:r>
              <w:rPr>
                <w:rtl w:val="0"/>
              </w:rPr>
              <w:t>https://www.phonicsplay.co.uk/resources/phase/5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1037" w:hRule="atLeast"/>
        </w:trPr>
        <w:tc>
          <w:tcPr>
            <w:tcW w:type="dxa" w:w="15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Reading</w:t>
            </w:r>
          </w:p>
        </w:tc>
        <w:tc>
          <w:tcPr>
            <w:tcW w:type="dxa" w:w="29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Read your Oxford Owl book</w:t>
            </w:r>
          </w:p>
        </w:tc>
        <w:tc>
          <w:tcPr>
            <w:tcW w:type="dxa" w:w="239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Record yourself reading some of your school reading book- think about expression.</w:t>
            </w:r>
          </w:p>
        </w:tc>
        <w:tc>
          <w:tcPr>
            <w:tcW w:type="dxa" w:w="25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Read your Oxford Owl book.</w:t>
            </w:r>
          </w:p>
        </w:tc>
        <w:tc>
          <w:tcPr>
            <w:tcW w:type="dxa" w:w="2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Comprehension task on Seesaw- The Lion and the Mouse.</w:t>
            </w:r>
          </w:p>
        </w:tc>
        <w:tc>
          <w:tcPr>
            <w:tcW w:type="dxa" w:w="23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>Read your Oxford Owl book</w:t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15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Writing</w:t>
            </w:r>
          </w:p>
        </w:tc>
        <w:tc>
          <w:tcPr>
            <w:tcW w:type="dxa" w:w="29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1"/>
                <w:szCs w:val="21"/>
                <w:rtl w:val="0"/>
                <w:lang w:val="en-US"/>
              </w:rPr>
              <w:t xml:space="preserve">The Dark: Lesson 1 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Predictions and inference.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Activity on SeeSaw</w:t>
            </w:r>
          </w:p>
        </w:tc>
        <w:tc>
          <w:tcPr>
            <w:tcW w:type="dxa" w:w="239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The Dark: Lesson 2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Vocabulary build.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Activity on SeeSaw</w:t>
            </w:r>
            <w:r>
              <w:rPr>
                <w:sz w:val="18"/>
                <w:szCs w:val="18"/>
                <w:rtl w:val="0"/>
                <w:lang w:val="en-US"/>
              </w:rPr>
              <w:t xml:space="preserve">  </w:t>
            </w:r>
          </w:p>
        </w:tc>
        <w:tc>
          <w:tcPr>
            <w:tcW w:type="dxa" w:w="25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The Dark: Lesson 3</w:t>
            </w:r>
            <w:r>
              <w:rPr>
                <w:sz w:val="21"/>
                <w:szCs w:val="21"/>
                <w:rtl w:val="0"/>
                <w:lang w:val="en-US"/>
              </w:rPr>
              <w:br w:type="textWrapping"/>
              <w:t xml:space="preserve"> </w:t>
            </w:r>
            <w:r>
              <w:rPr>
                <w:sz w:val="21"/>
                <w:szCs w:val="21"/>
                <w:rtl w:val="0"/>
                <w:lang w:val="en-US"/>
              </w:rPr>
              <w:t>Personification.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Activity on SeeSaw</w:t>
            </w:r>
          </w:p>
        </w:tc>
        <w:tc>
          <w:tcPr>
            <w:tcW w:type="dxa" w:w="2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The Dark: Lesson 4</w:t>
            </w:r>
            <w:r>
              <w:rPr>
                <w:sz w:val="21"/>
                <w:szCs w:val="21"/>
                <w:rtl w:val="0"/>
                <w:lang w:val="en-US"/>
              </w:rPr>
              <w:br w:type="textWrapping"/>
              <w:t xml:space="preserve">  </w:t>
            </w:r>
            <w:r>
              <w:rPr>
                <w:sz w:val="21"/>
                <w:szCs w:val="21"/>
                <w:rtl w:val="0"/>
                <w:lang w:val="en-US"/>
              </w:rPr>
              <w:t>BOYS conjunctions.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rtl w:val="0"/>
                <w:lang w:val="en-US"/>
              </w:rPr>
              <w:t>Activity on SeeSaw</w:t>
            </w:r>
          </w:p>
        </w:tc>
        <w:tc>
          <w:tcPr>
            <w:tcW w:type="dxa" w:w="23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The Dark: Lesson 5</w:t>
            </w:r>
            <w:r>
              <w:rPr>
                <w:sz w:val="21"/>
                <w:szCs w:val="21"/>
                <w:rtl w:val="0"/>
                <w:lang w:val="en-US"/>
              </w:rPr>
              <w:br w:type="textWrapping"/>
              <w:t xml:space="preserve"> </w:t>
            </w:r>
            <w:r>
              <w:rPr>
                <w:sz w:val="21"/>
                <w:szCs w:val="21"/>
                <w:rtl w:val="0"/>
                <w:lang w:val="en-US"/>
              </w:rPr>
              <w:t>Descriptive sentences.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rtl w:val="0"/>
                <w:lang w:val="en-US"/>
              </w:rPr>
              <w:t>Activity on SeeSaw</w:t>
            </w:r>
          </w:p>
        </w:tc>
      </w:tr>
      <w:tr>
        <w:tblPrEx>
          <w:shd w:val="clear" w:color="auto" w:fill="d0ddef"/>
        </w:tblPrEx>
        <w:trPr>
          <w:trHeight w:val="1715" w:hRule="atLeast"/>
        </w:trPr>
        <w:tc>
          <w:tcPr>
            <w:tcW w:type="dxa" w:w="15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Other</w:t>
            </w:r>
          </w:p>
        </w:tc>
        <w:tc>
          <w:tcPr>
            <w:tcW w:type="dxa" w:w="290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1"/>
                <w:szCs w:val="21"/>
                <w:rtl w:val="0"/>
                <w:lang w:val="en-US"/>
              </w:rPr>
              <w:t>Art-  Task set on SeeSaw design and create your own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Christmas decorations</w:t>
            </w:r>
          </w:p>
        </w:tc>
        <w:tc>
          <w:tcPr>
            <w:tcW w:type="dxa" w:w="239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 xml:space="preserve">History </w:t>
            </w:r>
            <w:r>
              <w:rPr>
                <w:rFonts w:ascii="Calibri" w:cs="Calibri" w:hAnsi="Calibri" w:eastAsia="Calibri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rtl w:val="0"/>
              </w:rPr>
              <w:t>Titanic activity on SeeSaw</w:t>
            </w:r>
          </w:p>
        </w:tc>
        <w:tc>
          <w:tcPr>
            <w:tcW w:type="dxa" w:w="25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 xml:space="preserve">ICT Coding </w:t>
            </w:r>
            <w:r>
              <w:rPr>
                <w:rFonts w:ascii="Calibri" w:cs="Calibri" w:hAnsi="Calibri" w:eastAsia="Calibri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rtl w:val="0"/>
              </w:rPr>
              <w:t xml:space="preserve">2code task set on Purplemash </w:t>
            </w:r>
            <w:r>
              <w:rPr>
                <w:rFonts w:ascii="Calibri" w:cs="Calibri" w:hAnsi="Calibri" w:eastAsia="Calibri"/>
                <w:rtl w:val="0"/>
              </w:rPr>
              <w:t>‘</w:t>
            </w:r>
            <w:r>
              <w:rPr>
                <w:rFonts w:ascii="Calibri" w:cs="Calibri" w:hAnsi="Calibri" w:eastAsia="Calibri"/>
                <w:rtl w:val="0"/>
              </w:rPr>
              <w:t>fun with fish- air traffic controls</w:t>
            </w:r>
            <w:r>
              <w:rPr>
                <w:rFonts w:ascii="Calibri" w:cs="Calibri" w:hAnsi="Calibri" w:eastAsia="Calibri"/>
                <w:rtl w:val="0"/>
              </w:rPr>
              <w:t>’</w:t>
            </w:r>
          </w:p>
        </w:tc>
        <w:tc>
          <w:tcPr>
            <w:tcW w:type="dxa" w:w="2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rtl w:val="0"/>
              </w:rPr>
              <w:t xml:space="preserve">RE task- The Mystery of God task on Seesaw </w:t>
            </w:r>
          </w:p>
        </w:tc>
        <w:tc>
          <w:tcPr>
            <w:tcW w:type="dxa" w:w="23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</w:rPr>
              <w:t xml:space="preserve">PE- Squish the Fish cosmic yoga </w:t>
            </w:r>
          </w:p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"https://www.youtube.com/watch?v=LhYtcadR9nw"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https://www.youtube.com/watch?v=LhYtcadR9nw</w:t>
            </w:r>
            <w:r>
              <w:rPr/>
              <w:fldChar w:fldCharType="end" w:fldLock="0"/>
            </w:r>
          </w:p>
        </w:tc>
      </w:tr>
    </w:tbl>
    <w:p>
      <w:pPr>
        <w:pStyle w:val="Body"/>
      </w:pP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/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  <w:style w:type="character" w:styleId="Hyperlink.2">
    <w:name w:val="Hyperlink.2"/>
    <w:basedOn w:val="Hyperlink"/>
    <w:next w:val="Hyperlink.2"/>
    <w:rPr/>
  </w:style>
  <w:style w:type="character" w:styleId="Hyperlink.3">
    <w:name w:val="Hyperlink.3"/>
    <w:basedOn w:val="Hyperlink"/>
    <w:next w:val="Hyperlink.3"/>
    <w:rPr/>
  </w:style>
  <w:style w:type="character" w:styleId="Hyperlink.4">
    <w:name w:val="Hyperlink.4"/>
    <w:basedOn w:val="Hyperlink"/>
    <w:next w:val="Hyperlink.4"/>
    <w:rPr/>
  </w:style>
  <w:style w:type="character" w:styleId="Hyperlink.5">
    <w:name w:val="Hyperlink.5"/>
    <w:basedOn w:val="Hyperlink"/>
    <w:next w:val="Hyperlink.5"/>
    <w:rPr/>
  </w:style>
  <w:style w:type="character" w:styleId="Hyperlink.6">
    <w:name w:val="Hyperlink.6"/>
    <w:basedOn w:val="Hyperlink"/>
    <w:next w:val="Hyperlink.6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